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E2" w:rsidRPr="00721BA3" w:rsidRDefault="00D26FE2" w:rsidP="00D2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1BA3">
        <w:rPr>
          <w:rFonts w:ascii="Times New Roman" w:hAnsi="Times New Roman" w:cs="Times New Roman"/>
          <w:b/>
          <w:sz w:val="28"/>
        </w:rPr>
        <w:t>Отчет о</w:t>
      </w:r>
      <w:r w:rsidR="007573A4" w:rsidRPr="00721BA3">
        <w:rPr>
          <w:rFonts w:ascii="Times New Roman" w:hAnsi="Times New Roman" w:cs="Times New Roman"/>
          <w:b/>
          <w:sz w:val="28"/>
        </w:rPr>
        <w:t xml:space="preserve"> проводимых мерах по охране </w:t>
      </w:r>
      <w:r w:rsidR="00544D8E" w:rsidRPr="00721BA3">
        <w:rPr>
          <w:rFonts w:ascii="Times New Roman" w:hAnsi="Times New Roman" w:cs="Times New Roman"/>
          <w:b/>
          <w:sz w:val="28"/>
        </w:rPr>
        <w:t>ЛВПЦ</w:t>
      </w:r>
      <w:r w:rsidR="00544D8E" w:rsidRPr="00721BA3">
        <w:rPr>
          <w:rFonts w:ascii="Times New Roman" w:hAnsi="Times New Roman" w:cs="Times New Roman"/>
          <w:b/>
          <w:sz w:val="28"/>
        </w:rPr>
        <w:br/>
      </w:r>
      <w:r w:rsidR="007573A4" w:rsidRPr="00721BA3">
        <w:rPr>
          <w:rFonts w:ascii="Times New Roman" w:hAnsi="Times New Roman" w:cs="Times New Roman"/>
          <w:b/>
          <w:sz w:val="28"/>
        </w:rPr>
        <w:t>ф</w:t>
      </w:r>
      <w:r w:rsidRPr="00721BA3">
        <w:rPr>
          <w:rFonts w:ascii="Times New Roman" w:hAnsi="Times New Roman" w:cs="Times New Roman"/>
          <w:b/>
          <w:sz w:val="28"/>
        </w:rPr>
        <w:t>илиала УО «БГТУ»</w:t>
      </w:r>
      <w:r w:rsidRPr="00721BA3">
        <w:rPr>
          <w:rFonts w:ascii="Times New Roman" w:hAnsi="Times New Roman" w:cs="Times New Roman"/>
          <w:b/>
          <w:sz w:val="28"/>
        </w:rPr>
        <w:br/>
        <w:t>«</w:t>
      </w:r>
      <w:r w:rsidR="007573A4" w:rsidRPr="00721BA3">
        <w:rPr>
          <w:rFonts w:ascii="Times New Roman" w:hAnsi="Times New Roman" w:cs="Times New Roman"/>
          <w:b/>
          <w:sz w:val="28"/>
        </w:rPr>
        <w:t>Негорельский учебно-опытный лесхоз</w:t>
      </w:r>
      <w:r w:rsidRPr="00721BA3">
        <w:rPr>
          <w:rFonts w:ascii="Times New Roman" w:hAnsi="Times New Roman" w:cs="Times New Roman"/>
          <w:b/>
          <w:sz w:val="28"/>
        </w:rPr>
        <w:t>»</w:t>
      </w:r>
    </w:p>
    <w:p w:rsidR="007573A4" w:rsidRPr="00721BA3" w:rsidRDefault="007573A4" w:rsidP="00D2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1BA3">
        <w:rPr>
          <w:rFonts w:ascii="Times New Roman" w:hAnsi="Times New Roman" w:cs="Times New Roman"/>
          <w:b/>
          <w:sz w:val="28"/>
        </w:rPr>
        <w:t>за 201</w:t>
      </w:r>
      <w:r w:rsidR="0048671B">
        <w:rPr>
          <w:rFonts w:ascii="Times New Roman" w:hAnsi="Times New Roman" w:cs="Times New Roman"/>
          <w:b/>
          <w:sz w:val="28"/>
        </w:rPr>
        <w:t>9</w:t>
      </w:r>
      <w:r w:rsidRPr="00721BA3">
        <w:rPr>
          <w:rFonts w:ascii="Times New Roman" w:hAnsi="Times New Roman" w:cs="Times New Roman"/>
          <w:b/>
          <w:sz w:val="28"/>
        </w:rPr>
        <w:t xml:space="preserve"> г.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3A4" w:rsidRPr="00721BA3" w:rsidRDefault="007573A4" w:rsidP="007573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Леса высокой природоохранной ценности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В целях достижения устойчивого лесоуправления, сохранения биологического разнообразия лесохозяйственное учреждение «Негорельский учебно-опытный лесхоз» выявляет и поддерживает высокие природоохранные ценности лесов. Оценка воздействия на леса высокой природоохранной ценности (ЛВПЦ) вызвана необходимостью организации превентивных мер по исключению таких лесов из лесопользования и разработки мероприятий для их охраны.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Биологически ценные леса (БЦЛ), которые покрывают типы 1–3 ЛВПЦ обследуются.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Прежде всего, обследуются квартала, где планируется заготовка, чтобы избежать рубки ценных лесов. Обследование производится ИТР, которые ведут заготовки и на практике сохраняют биологическое разнообразие.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На территории лесхоза к категориям ЛВПЦ 1–3 относятся леса длительного комплексного использования; биологический заказник местного значения «Ленчино»; редкие и находящиеся под угрозой исчезновения дикие животные и дикорастущие растения; участки леса с наличием чернокорой березы, лиственницы, пихты; охранная зона; редкие и типичные биотопы.</w:t>
      </w:r>
    </w:p>
    <w:p w:rsidR="00D26FE2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Меры охраны данных ЛВПЦ приведены в «Перечне лесов высокой природоохранной ценности филиала учреждения образования «Белорусский государственный технологический университет» «Негорельский учебно-опытный лесхоз», с которым можно ознакомиться в электронном виде на сайте лесхоза, в бумажном виде в конторе лесхоза или его структурных подразделений.</w:t>
      </w:r>
    </w:p>
    <w:p w:rsidR="00C77B10" w:rsidRPr="00721BA3" w:rsidRDefault="00C77B10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B10" w:rsidRPr="00721BA3" w:rsidRDefault="00C77B10" w:rsidP="00C77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Мониторинг хозяйственной деятельности и ЛВПЦ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Мониторинг ведется по следующим показателям: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объемы заготовки древесины по видам рубок главного и промежуточного пользования;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объемы и качество лесовосстановительных мероприятий;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фактический и расчетный объем рубки;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динамика популяций видов животных (осуществляется сбор и анализ общей информации);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площади охраняемых участков;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объемы биотехнических мероприятий;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объемы мероприятий по защите и охране леса;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эффективность лесохозяйственных мероприятий.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Мониторинг ЛВПЦ. Результаты мониторинга хозяйственной деятельности предприятия доступны для общественности на официальном сайте лесохозяйственного учреждения.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мероприятий по охране ЛВПЦ является неотъемлемой частью охраны лесного фонда. С целью предотвращения нарушения режима охраны территорий проводятся рейдовые мероприятия. Для ознакомления населения с правилами нахождения в лесах и на особо охраняемых природных территориях, работниками лесохозяйственного учреждения ежегодно размещаются материалы в печатных изданиях, на сайте лесхоза, а также организовываются выступления на радио и телевиденье. Краткий отчет о проделанной работе приведен в таблице.</w:t>
      </w:r>
    </w:p>
    <w:p w:rsidR="00C77B10" w:rsidRPr="00721BA3" w:rsidRDefault="00C77B10" w:rsidP="00C77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B10" w:rsidRPr="00721BA3" w:rsidRDefault="00C77B10" w:rsidP="00C77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Таблица. Сведения по охране леса Негорельского учебно-опытного лесхоза за 201</w:t>
      </w:r>
      <w:r w:rsidR="0048671B">
        <w:rPr>
          <w:rFonts w:ascii="Times New Roman" w:hAnsi="Times New Roman" w:cs="Times New Roman"/>
          <w:sz w:val="28"/>
        </w:rPr>
        <w:t>9</w:t>
      </w:r>
      <w:r w:rsidRPr="00721BA3">
        <w:rPr>
          <w:rFonts w:ascii="Times New Roman" w:hAnsi="Times New Roman" w:cs="Times New Roman"/>
          <w:sz w:val="28"/>
        </w:rPr>
        <w:t xml:space="preserve"> 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93"/>
        <w:gridCol w:w="1577"/>
      </w:tblGrid>
      <w:tr w:rsidR="00714522" w:rsidRPr="00721BA3" w:rsidTr="00B927D7">
        <w:trPr>
          <w:trHeight w:val="567"/>
        </w:trPr>
        <w:tc>
          <w:tcPr>
            <w:tcW w:w="4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лесхозу</w:t>
            </w:r>
          </w:p>
        </w:tc>
      </w:tr>
      <w:tr w:rsidR="00714522" w:rsidRPr="00721BA3" w:rsidTr="00B927D7">
        <w:trPr>
          <w:trHeight w:val="170"/>
        </w:trPr>
        <w:tc>
          <w:tcPr>
            <w:tcW w:w="4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522" w:rsidRPr="00721BA3" w:rsidTr="00B927D7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лесная охрана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лесничеств,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мастерских участков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обходов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Всего численность государственной лесной охраны, чел. в т.ч.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ИТР лесхоза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ИТР лесничества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лесники, егеря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522" w:rsidRPr="00721BA3" w:rsidTr="00B927D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Охрана лесов от пожаров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в печати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радио и телевидению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Распространено листовок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Прочитано лекций и докладов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бесед с местными жителями (подв. обход)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14522" w:rsidRPr="00721BA3" w:rsidTr="00B927D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Устроено новых мест отдыха,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Устроено кострищ,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Устроено подъездов к источникам водоснабжения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Отремонтировано мест отдыха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Установлено: малых архитектурных форм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аншлагов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шлагбаумов на второст. дорогах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Ликвидировано несанкционированных свалок: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масса,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4522"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Очищено лесов от захламлености: площадь, га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масса,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животноводческих комплексов, примыкающих к л/ф, шт. 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проведено обследование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нарушений лесного и природоохранного законодательства,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выдано предписаний,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исполнено 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начислено штрафов, тыс. руб.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Охрана лесов от нарушений лесного и природ. закон.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нарушений лесного и природоохр. законодат.,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BA37B4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Незаконные рубки, всего случаев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BA37B4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714522" w:rsidRPr="00721BA3" w:rsidRDefault="00714522" w:rsidP="00714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lastRenderedPageBreak/>
        <w:t>Продолжение таблицы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93"/>
        <w:gridCol w:w="1577"/>
      </w:tblGrid>
      <w:tr w:rsidR="00714522" w:rsidRPr="00721BA3" w:rsidTr="00B927D7">
        <w:trPr>
          <w:trHeight w:val="170"/>
        </w:trPr>
        <w:tc>
          <w:tcPr>
            <w:tcW w:w="4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масса,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13,37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по твёрдолиственным породам,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незаконные порубки,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BA37B4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13,37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выявления (%)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выявлено должностными лицам госуд. л/о, сл.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масса,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BA37B4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13,37</w:t>
            </w:r>
          </w:p>
        </w:tc>
      </w:tr>
      <w:tr w:rsidR="00714522" w:rsidRPr="00721BA3" w:rsidTr="00B927D7">
        <w:trPr>
          <w:trHeight w:val="283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Вред, причиненный незаконными рубками, рублей.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BA37B4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83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возмещенный вред, руб.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83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рейдов,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83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 совместных,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привлечено к административной ответсвенности, шт.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Вынесено постановлений о наложении адм. взыскания, 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должностными лицами государственной л/о.</w:t>
            </w:r>
          </w:p>
        </w:tc>
        <w:tc>
          <w:tcPr>
            <w:tcW w:w="8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т.ч.: ИТР лесхоза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ИТР лесничества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лесниками, егерями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Обжаловано постановлений о налож. адм. взыскания,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Вынесено предписаний, всего,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исполнено,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начислено штрафов, рублей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за нарушение ППБ, тыс. руб. 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Взыскано штрафов, рублей.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причинённый вред лесам и землям л/ф, руб.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возмещенный вред, руб. 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14522" w:rsidRPr="00721BA3" w:rsidRDefault="00714522" w:rsidP="00DF69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B10" w:rsidRPr="00721BA3" w:rsidRDefault="00C77B10" w:rsidP="00C77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 xml:space="preserve">Сохранение </w:t>
      </w:r>
      <w:r w:rsidR="00D34F70" w:rsidRPr="00721BA3">
        <w:rPr>
          <w:rFonts w:ascii="Times New Roman" w:hAnsi="Times New Roman" w:cs="Times New Roman"/>
          <w:i/>
          <w:sz w:val="28"/>
        </w:rPr>
        <w:t>мест обитания редких видов растений и животных</w:t>
      </w:r>
    </w:p>
    <w:p w:rsidR="00833CDC" w:rsidRPr="00721BA3" w:rsidRDefault="00833CDC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Режим охраны редких видов – в соответствии с действующим природоохранным законодательством.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3A4" w:rsidRPr="00721BA3" w:rsidRDefault="007573A4" w:rsidP="007573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Репрезентативные участки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 xml:space="preserve">На территории лесного фонда лесхоза выделены репрезентативные участки лесных экосистем. 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 xml:space="preserve">Для репрезентативных участков экосистем вводится запрет на проведение любых хозяйственных мероприятий. </w:t>
      </w:r>
      <w:r w:rsidR="00833CDC" w:rsidRPr="00721BA3">
        <w:rPr>
          <w:rFonts w:ascii="Times New Roman" w:hAnsi="Times New Roman" w:cs="Times New Roman"/>
          <w:sz w:val="28"/>
        </w:rPr>
        <w:t>В исключительных случаях, при</w:t>
      </w:r>
      <w:r w:rsidRPr="00721BA3">
        <w:rPr>
          <w:rFonts w:ascii="Times New Roman" w:hAnsi="Times New Roman" w:cs="Times New Roman"/>
          <w:sz w:val="28"/>
        </w:rPr>
        <w:t xml:space="preserve"> необходимости проведения рубок на участке (таксационном выделе), отнесенном к репрезентативным</w:t>
      </w:r>
      <w:r w:rsidR="00833CDC" w:rsidRPr="00721BA3">
        <w:rPr>
          <w:rFonts w:ascii="Times New Roman" w:hAnsi="Times New Roman" w:cs="Times New Roman"/>
          <w:sz w:val="28"/>
        </w:rPr>
        <w:t>,</w:t>
      </w:r>
      <w:r w:rsidRPr="00721BA3">
        <w:rPr>
          <w:rFonts w:ascii="Times New Roman" w:hAnsi="Times New Roman" w:cs="Times New Roman"/>
          <w:sz w:val="28"/>
        </w:rPr>
        <w:t xml:space="preserve"> данный участок исключается из числа репрезентативных и взамен него выделяется другой, представляющий ту же группу насаждений.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lastRenderedPageBreak/>
        <w:t xml:space="preserve">С картами и материалами выделенных репрезентативных участков можно ознакомиться в </w:t>
      </w:r>
      <w:r w:rsidR="00833CDC" w:rsidRPr="00721BA3">
        <w:rPr>
          <w:rFonts w:ascii="Times New Roman" w:hAnsi="Times New Roman" w:cs="Times New Roman"/>
          <w:sz w:val="28"/>
        </w:rPr>
        <w:t>центральном административном здании</w:t>
      </w:r>
      <w:r w:rsidRPr="00721BA3">
        <w:rPr>
          <w:rFonts w:ascii="Times New Roman" w:hAnsi="Times New Roman" w:cs="Times New Roman"/>
          <w:sz w:val="28"/>
        </w:rPr>
        <w:t xml:space="preserve"> лесохозяйственного учреждения и его структурных подразделениях.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B10" w:rsidRPr="00721BA3" w:rsidRDefault="00C77B10" w:rsidP="00C77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Пересмотр плана лесоуправления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В план лесоуправления по мере необходимости вносятся оперативные изменения, связанные: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с действием природных и антропогенных факторов (вспышек размножения вредителей и болезней леса, наводнений, пожаров, нелегальных рубок);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с информацией в отношении ключевых биотопов и ЛВПЦ, поступающей от научных организаций и других заинтересованных сторон, а также в связи с внесением изменений в политики и инструкции предприятия, которые предусматривают немедленную реализацию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дополнительными обязательствами предприятия, согласованными с заинтересованными сторонами, в отношении сохранения или изменения хозяйственного режима;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с местами, имеющими особое значение (культурное, историческое, религиозное, экологическое и хозяйственное для местного населения;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План лесоуправления регулярно пересматривается (не реже чем раз в 5–10 лет) с учетом результатов мониторинга экологических и социально-экономических изменений, а также новой научно-технической информации.</w:t>
      </w:r>
    </w:p>
    <w:p w:rsidR="00C77B10" w:rsidRPr="00721BA3" w:rsidRDefault="00C77B10" w:rsidP="007573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573A4" w:rsidRPr="00721BA3" w:rsidRDefault="007573A4" w:rsidP="007573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Взаимодействие с местным населением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При планировании и осуществлении хозяйственной деятельности лесхоз предоставляет возможность местному населению, другим заинтересованным сторонам высказать свои предложения по учету возможных социальных последствий (например, по ограничению хозяйственной деятельности в определенных местах, методам ведения лесохозяйственной деятельности и лесозаготовок, строительству и поддержанию дорожной сети, вопросам трудовой занятости).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Меры по снижению негативного воздействия на окружающую среду. Водоохранными зонами являются территории, которые примыкают к береговой линии водных объектов и на которых устанавливается специальный режим осуществления хозяйственной и иной деятельности в целях предотвращения загрязнения, засорения водных объектов.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В границах во</w:t>
      </w:r>
      <w:r w:rsidR="00544D8E" w:rsidRPr="00721BA3">
        <w:rPr>
          <w:rFonts w:ascii="Times New Roman" w:hAnsi="Times New Roman" w:cs="Times New Roman"/>
          <w:sz w:val="28"/>
        </w:rPr>
        <w:t>до</w:t>
      </w:r>
      <w:r w:rsidRPr="00721BA3">
        <w:rPr>
          <w:rFonts w:ascii="Times New Roman" w:hAnsi="Times New Roman" w:cs="Times New Roman"/>
          <w:sz w:val="28"/>
        </w:rPr>
        <w:t xml:space="preserve">охранных зон устанавливаются прибрежные защитные полосы, на территории которых вводятся дополнительные ограничения хозяйственной и иной деятельности. 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 xml:space="preserve">В пределах прибрежных защитных полос запрещается: распашка земель, мест захоронения отходов производства и потребления, химических, отравляющих и ядовитых веществ, движение и стоянка транспортных средств (кроме специальных), за исключением их движения по дорогам и стоянки на дорогах в специально оборудованных местах, имеющее твердое покрытие, выпас сельскохозяйственных животных, использование сточных </w:t>
      </w:r>
      <w:r w:rsidRPr="00721BA3">
        <w:rPr>
          <w:rFonts w:ascii="Times New Roman" w:hAnsi="Times New Roman" w:cs="Times New Roman"/>
          <w:sz w:val="28"/>
        </w:rPr>
        <w:lastRenderedPageBreak/>
        <w:t>вод для удобрения почв, не допускается движение трелевочных тракторов (рубки проводятся преимущественно в зимний период по промерзшему грунту), порубочные остатки выносятся за пределы прибрежных защитных полос.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Не допускается: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захламления порубочными остатками берегов ручьев, рек и озер;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попадания в них горюче-смазочных материалов;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перекрытия протока воды при строительстве временных сооружений через ручьи и реки;</w:t>
      </w:r>
    </w:p>
    <w:p w:rsidR="007573A4" w:rsidRPr="007573A4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использование русел рек и ручьев в качестве трасс волоков и лесных дорог.</w:t>
      </w:r>
    </w:p>
    <w:p w:rsidR="007573A4" w:rsidRPr="007573A4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573A4" w:rsidRPr="007573A4" w:rsidSect="00D26FE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AE" w:rsidRDefault="006C3AAE" w:rsidP="00AE4F71">
      <w:pPr>
        <w:spacing w:after="0" w:line="240" w:lineRule="auto"/>
      </w:pPr>
      <w:r>
        <w:separator/>
      </w:r>
    </w:p>
  </w:endnote>
  <w:endnote w:type="continuationSeparator" w:id="0">
    <w:p w:rsidR="006C3AAE" w:rsidRDefault="006C3AAE" w:rsidP="00AE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2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1490E" w:rsidRPr="00AE4F71" w:rsidRDefault="0031490E" w:rsidP="00AE4F7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F71">
          <w:rPr>
            <w:rFonts w:ascii="Times New Roman" w:hAnsi="Times New Roman" w:cs="Times New Roman"/>
            <w:sz w:val="28"/>
          </w:rPr>
          <w:fldChar w:fldCharType="begin"/>
        </w:r>
        <w:r w:rsidRPr="00AE4F71">
          <w:rPr>
            <w:rFonts w:ascii="Times New Roman" w:hAnsi="Times New Roman" w:cs="Times New Roman"/>
            <w:sz w:val="28"/>
          </w:rPr>
          <w:instrText>PAGE   \* MERGEFORMAT</w:instrText>
        </w:r>
        <w:r w:rsidRPr="00AE4F71">
          <w:rPr>
            <w:rFonts w:ascii="Times New Roman" w:hAnsi="Times New Roman" w:cs="Times New Roman"/>
            <w:sz w:val="28"/>
          </w:rPr>
          <w:fldChar w:fldCharType="separate"/>
        </w:r>
        <w:r w:rsidR="00240A0E">
          <w:rPr>
            <w:rFonts w:ascii="Times New Roman" w:hAnsi="Times New Roman" w:cs="Times New Roman"/>
            <w:noProof/>
            <w:sz w:val="28"/>
          </w:rPr>
          <w:t>5</w:t>
        </w:r>
        <w:r w:rsidRPr="00AE4F71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AE" w:rsidRDefault="006C3AAE" w:rsidP="00AE4F71">
      <w:pPr>
        <w:spacing w:after="0" w:line="240" w:lineRule="auto"/>
      </w:pPr>
      <w:r>
        <w:separator/>
      </w:r>
    </w:p>
  </w:footnote>
  <w:footnote w:type="continuationSeparator" w:id="0">
    <w:p w:rsidR="006C3AAE" w:rsidRDefault="006C3AAE" w:rsidP="00AE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5"/>
    <w:rsid w:val="000442DA"/>
    <w:rsid w:val="000A4728"/>
    <w:rsid w:val="000A51EC"/>
    <w:rsid w:val="000B5A80"/>
    <w:rsid w:val="00151A1F"/>
    <w:rsid w:val="001934A1"/>
    <w:rsid w:val="001A4D5B"/>
    <w:rsid w:val="001A6CA2"/>
    <w:rsid w:val="001B242B"/>
    <w:rsid w:val="001D6E25"/>
    <w:rsid w:val="001F5F8A"/>
    <w:rsid w:val="002267AC"/>
    <w:rsid w:val="002319A1"/>
    <w:rsid w:val="00240A0E"/>
    <w:rsid w:val="002D1382"/>
    <w:rsid w:val="002D62A8"/>
    <w:rsid w:val="0031490E"/>
    <w:rsid w:val="003400C9"/>
    <w:rsid w:val="00382F90"/>
    <w:rsid w:val="00391773"/>
    <w:rsid w:val="00393C10"/>
    <w:rsid w:val="003B2586"/>
    <w:rsid w:val="003C6D6E"/>
    <w:rsid w:val="004031EC"/>
    <w:rsid w:val="0040343A"/>
    <w:rsid w:val="00433E49"/>
    <w:rsid w:val="0048671B"/>
    <w:rsid w:val="004A249C"/>
    <w:rsid w:val="004B7898"/>
    <w:rsid w:val="004C5BC4"/>
    <w:rsid w:val="004D2308"/>
    <w:rsid w:val="004D5373"/>
    <w:rsid w:val="004D7A72"/>
    <w:rsid w:val="0053246A"/>
    <w:rsid w:val="00534241"/>
    <w:rsid w:val="005421EE"/>
    <w:rsid w:val="00544D8E"/>
    <w:rsid w:val="005522DE"/>
    <w:rsid w:val="005D7A9F"/>
    <w:rsid w:val="00610EAF"/>
    <w:rsid w:val="00636285"/>
    <w:rsid w:val="0064678B"/>
    <w:rsid w:val="006569D3"/>
    <w:rsid w:val="0066125D"/>
    <w:rsid w:val="00680C58"/>
    <w:rsid w:val="006C3AAE"/>
    <w:rsid w:val="006E6559"/>
    <w:rsid w:val="00714522"/>
    <w:rsid w:val="00721BA3"/>
    <w:rsid w:val="00734740"/>
    <w:rsid w:val="0075196F"/>
    <w:rsid w:val="007573A4"/>
    <w:rsid w:val="0077288B"/>
    <w:rsid w:val="00795AC5"/>
    <w:rsid w:val="007C1ADF"/>
    <w:rsid w:val="007F0222"/>
    <w:rsid w:val="00804B4B"/>
    <w:rsid w:val="00812099"/>
    <w:rsid w:val="00816D7D"/>
    <w:rsid w:val="00833CDC"/>
    <w:rsid w:val="00886860"/>
    <w:rsid w:val="008A6525"/>
    <w:rsid w:val="008C76BB"/>
    <w:rsid w:val="008E39EB"/>
    <w:rsid w:val="008F1824"/>
    <w:rsid w:val="00905B6C"/>
    <w:rsid w:val="00932E5F"/>
    <w:rsid w:val="0097334C"/>
    <w:rsid w:val="0099440F"/>
    <w:rsid w:val="009B4CAC"/>
    <w:rsid w:val="00A561E5"/>
    <w:rsid w:val="00A72B27"/>
    <w:rsid w:val="00A933F1"/>
    <w:rsid w:val="00AB5390"/>
    <w:rsid w:val="00AC2B65"/>
    <w:rsid w:val="00AE4F71"/>
    <w:rsid w:val="00B75A97"/>
    <w:rsid w:val="00B865BC"/>
    <w:rsid w:val="00BA37B4"/>
    <w:rsid w:val="00BB66CD"/>
    <w:rsid w:val="00BD23BD"/>
    <w:rsid w:val="00BE7F5D"/>
    <w:rsid w:val="00C04CC1"/>
    <w:rsid w:val="00C114A0"/>
    <w:rsid w:val="00C132DC"/>
    <w:rsid w:val="00C34998"/>
    <w:rsid w:val="00C44B46"/>
    <w:rsid w:val="00C50A3A"/>
    <w:rsid w:val="00C66E40"/>
    <w:rsid w:val="00C77B10"/>
    <w:rsid w:val="00C82900"/>
    <w:rsid w:val="00CA3893"/>
    <w:rsid w:val="00CA7B98"/>
    <w:rsid w:val="00CC2612"/>
    <w:rsid w:val="00CD7166"/>
    <w:rsid w:val="00CD7DC1"/>
    <w:rsid w:val="00D047C9"/>
    <w:rsid w:val="00D215A6"/>
    <w:rsid w:val="00D26FE2"/>
    <w:rsid w:val="00D34F70"/>
    <w:rsid w:val="00D849A0"/>
    <w:rsid w:val="00D9505B"/>
    <w:rsid w:val="00DA2C79"/>
    <w:rsid w:val="00DB02BF"/>
    <w:rsid w:val="00DD7116"/>
    <w:rsid w:val="00DF6987"/>
    <w:rsid w:val="00E01421"/>
    <w:rsid w:val="00E630CF"/>
    <w:rsid w:val="00E96247"/>
    <w:rsid w:val="00EA3F48"/>
    <w:rsid w:val="00EA43AA"/>
    <w:rsid w:val="00EC0F2F"/>
    <w:rsid w:val="00ED758B"/>
    <w:rsid w:val="00EF7179"/>
    <w:rsid w:val="00F27BE7"/>
    <w:rsid w:val="00F459B5"/>
    <w:rsid w:val="00F77C0D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05F5-3D6B-4509-B93F-3024217B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2020-09-02T13:16:00Z</dcterms:created>
  <dcterms:modified xsi:type="dcterms:W3CDTF">2020-09-02T13:16:00Z</dcterms:modified>
</cp:coreProperties>
</file>